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5F" w:rsidRDefault="00963B5F" w:rsidP="00963B5F">
      <w:pPr>
        <w:suppressAutoHyphens w:val="0"/>
        <w:autoSpaceDE w:val="0"/>
        <w:autoSpaceDN w:val="0"/>
        <w:adjustRightInd w:val="0"/>
        <w:jc w:val="both"/>
        <w:rPr>
          <w:rFonts w:asciiTheme="minorHAnsi" w:hAnsiTheme="minorHAnsi"/>
        </w:rPr>
      </w:pPr>
      <w:bookmarkStart w:id="0" w:name="_GoBack"/>
      <w:bookmarkEnd w:id="0"/>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AF7672" w:rsidRDefault="00AF7672" w:rsidP="00963B5F">
      <w:pPr>
        <w:suppressAutoHyphens w:val="0"/>
        <w:autoSpaceDE w:val="0"/>
        <w:autoSpaceDN w:val="0"/>
        <w:adjustRightInd w:val="0"/>
        <w:jc w:val="both"/>
        <w:rPr>
          <w:rFonts w:asciiTheme="minorHAnsi" w:hAnsiTheme="minorHAnsi"/>
        </w:rPr>
      </w:pPr>
    </w:p>
    <w:p w:rsidR="00963B5F" w:rsidRPr="00C93761" w:rsidRDefault="00963B5F" w:rsidP="00963B5F">
      <w:pPr>
        <w:suppressAutoHyphens w:val="0"/>
        <w:autoSpaceDE w:val="0"/>
        <w:autoSpaceDN w:val="0"/>
        <w:adjustRightInd w:val="0"/>
        <w:jc w:val="both"/>
        <w:rPr>
          <w:rFonts w:asciiTheme="minorHAnsi" w:hAnsiTheme="minorHAnsi"/>
        </w:rPr>
      </w:pPr>
    </w:p>
    <w:p w:rsidR="00963B5F" w:rsidRDefault="00963B5F" w:rsidP="00963B5F">
      <w:pPr>
        <w:jc w:val="center"/>
        <w:rPr>
          <w:sz w:val="18"/>
          <w:szCs w:val="18"/>
        </w:rPr>
      </w:pPr>
    </w:p>
    <w:p w:rsidR="00963B5F" w:rsidRDefault="00963B5F" w:rsidP="00963B5F">
      <w:pPr>
        <w:tabs>
          <w:tab w:val="left" w:pos="1789"/>
          <w:tab w:val="left" w:pos="1854"/>
          <w:tab w:val="left" w:pos="1934"/>
        </w:tabs>
        <w:jc w:val="center"/>
        <w:rPr>
          <w:rFonts w:ascii="Calibri" w:hAnsi="Calibri" w:cs="Calibri"/>
          <w:b/>
          <w:bCs/>
          <w:i/>
          <w:sz w:val="22"/>
          <w:szCs w:val="22"/>
        </w:rPr>
      </w:pPr>
    </w:p>
    <w:p w:rsidR="00AF7672" w:rsidRDefault="00AF7672" w:rsidP="00963B5F">
      <w:pPr>
        <w:jc w:val="center"/>
        <w:rPr>
          <w:b/>
          <w:bCs/>
          <w:sz w:val="36"/>
          <w:szCs w:val="36"/>
          <w:u w:val="single"/>
        </w:rPr>
      </w:pPr>
      <w:r w:rsidRPr="00AF7672">
        <w:rPr>
          <w:b/>
          <w:bCs/>
          <w:noProof/>
          <w:sz w:val="36"/>
          <w:szCs w:val="36"/>
          <w:u w:val="single"/>
          <w:lang w:eastAsia="es-ES"/>
        </w:rPr>
        <w:drawing>
          <wp:inline distT="0" distB="0" distL="0" distR="0">
            <wp:extent cx="1036027" cy="1543308"/>
            <wp:effectExtent l="19050" t="0" r="0" b="0"/>
            <wp:docPr id="4" name="Imagen 4" descr="http://www.librosalfaguarajuvenil.com/uploads/imagenes/libro/portada/200202/portada-malditas-matematicas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rosalfaguarajuvenil.com/uploads/imagenes/libro/portada/200202/portada-malditas-matematicas_grande.jpg"/>
                    <pic:cNvPicPr>
                      <a:picLocks noChangeAspect="1" noChangeArrowheads="1"/>
                    </pic:cNvPicPr>
                  </pic:nvPicPr>
                  <pic:blipFill>
                    <a:blip r:embed="rId6" cstate="print"/>
                    <a:srcRect/>
                    <a:stretch>
                      <a:fillRect/>
                    </a:stretch>
                  </pic:blipFill>
                  <pic:spPr bwMode="auto">
                    <a:xfrm>
                      <a:off x="0" y="0"/>
                      <a:ext cx="1036042" cy="1543330"/>
                    </a:xfrm>
                    <a:prstGeom prst="rect">
                      <a:avLst/>
                    </a:prstGeom>
                    <a:noFill/>
                    <a:ln w="9525">
                      <a:noFill/>
                      <a:miter lim="800000"/>
                      <a:headEnd/>
                      <a:tailEnd/>
                    </a:ln>
                  </pic:spPr>
                </pic:pic>
              </a:graphicData>
            </a:graphic>
          </wp:inline>
        </w:drawing>
      </w:r>
    </w:p>
    <w:p w:rsidR="00AF7672" w:rsidRDefault="00AF7672" w:rsidP="00963B5F">
      <w:pPr>
        <w:jc w:val="center"/>
        <w:rPr>
          <w:b/>
          <w:bCs/>
          <w:sz w:val="36"/>
          <w:szCs w:val="36"/>
          <w:u w:val="single"/>
        </w:rPr>
      </w:pPr>
    </w:p>
    <w:p w:rsidR="00AF7672" w:rsidRDefault="00AF7672" w:rsidP="00963B5F">
      <w:pPr>
        <w:jc w:val="center"/>
        <w:rPr>
          <w:b/>
          <w:bCs/>
          <w:sz w:val="36"/>
          <w:szCs w:val="36"/>
          <w:u w:val="single"/>
        </w:rPr>
      </w:pPr>
    </w:p>
    <w:p w:rsidR="00963B5F" w:rsidRDefault="00942408" w:rsidP="00963B5F">
      <w:pPr>
        <w:jc w:val="center"/>
        <w:rPr>
          <w:b/>
          <w:bCs/>
        </w:rPr>
      </w:pPr>
      <w:r>
        <w:pict>
          <v:shapetype id="_x0000_t202" coordsize="21600,21600" o:spt="202" path="m,l,21600r21600,l21600,xe">
            <v:stroke joinstyle="miter"/>
            <v:path gradientshapeok="t" o:connecttype="rect"/>
          </v:shapetype>
          <v:shape id="_x0000_s1027" type="#_x0000_t202" style="position:absolute;left:0;text-align:left;margin-left:-3.75pt;margin-top:30.05pt;width:471.45pt;height:52pt;z-index:251658240;mso-wrap-distance-left:0;mso-wrap-distance-right:7.05pt;mso-position-horizontal-relative:margin;mso-position-vertical-relative:page" stroked="f">
            <v:fill opacity="0" color2="black"/>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205"/>
                    <w:gridCol w:w="2672"/>
                    <w:gridCol w:w="3553"/>
                  </w:tblGrid>
                  <w:tr w:rsidR="00963B5F">
                    <w:trPr>
                      <w:trHeight w:val="981"/>
                    </w:trPr>
                    <w:tc>
                      <w:tcPr>
                        <w:tcW w:w="3205" w:type="dxa"/>
                        <w:tcBorders>
                          <w:top w:val="single" w:sz="4" w:space="0" w:color="000000"/>
                          <w:left w:val="single" w:sz="4" w:space="0" w:color="000000"/>
                          <w:bottom w:val="single" w:sz="4" w:space="0" w:color="000000"/>
                        </w:tcBorders>
                        <w:shd w:val="clear" w:color="auto" w:fill="auto"/>
                      </w:tcPr>
                      <w:p w:rsidR="00963B5F" w:rsidRDefault="00963B5F">
                        <w:pPr>
                          <w:pStyle w:val="Encabezado"/>
                          <w:jc w:val="center"/>
                          <w:rPr>
                            <w:b/>
                            <w:color w:val="B2A1C7"/>
                            <w:sz w:val="16"/>
                            <w:szCs w:val="16"/>
                          </w:rPr>
                        </w:pPr>
                        <w:r>
                          <w:rPr>
                            <w:noProof/>
                            <w:color w:val="B2A1C7"/>
                            <w:sz w:val="16"/>
                            <w:szCs w:val="16"/>
                            <w:lang w:eastAsia="es-ES"/>
                          </w:rPr>
                          <w:drawing>
                            <wp:inline distT="0" distB="0" distL="0" distR="0">
                              <wp:extent cx="1667510" cy="18224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67510" cy="182245"/>
                                      </a:xfrm>
                                      <a:prstGeom prst="rect">
                                        <a:avLst/>
                                      </a:prstGeom>
                                      <a:solidFill>
                                        <a:srgbClr val="FFFFFF">
                                          <a:alpha val="0"/>
                                        </a:srgbClr>
                                      </a:solidFill>
                                      <a:ln w="9525">
                                        <a:noFill/>
                                        <a:miter lim="800000"/>
                                        <a:headEnd/>
                                        <a:tailEnd/>
                                      </a:ln>
                                    </pic:spPr>
                                  </pic:pic>
                                </a:graphicData>
                              </a:graphic>
                            </wp:inline>
                          </w:drawing>
                        </w:r>
                      </w:p>
                      <w:p w:rsidR="00963B5F" w:rsidRDefault="00963B5F">
                        <w:pPr>
                          <w:pStyle w:val="Encabezado"/>
                          <w:jc w:val="center"/>
                          <w:rPr>
                            <w:b/>
                            <w:color w:val="B2A1C7"/>
                            <w:sz w:val="16"/>
                            <w:szCs w:val="16"/>
                          </w:rPr>
                        </w:pPr>
                      </w:p>
                      <w:p w:rsidR="00963B5F" w:rsidRDefault="00963B5F">
                        <w:pPr>
                          <w:pStyle w:val="Encabezado"/>
                          <w:jc w:val="center"/>
                          <w:rPr>
                            <w:b/>
                            <w:color w:val="B2A1C7"/>
                            <w:sz w:val="16"/>
                            <w:szCs w:val="16"/>
                          </w:rPr>
                        </w:pPr>
                        <w:r>
                          <w:rPr>
                            <w:b/>
                            <w:color w:val="B2A1C7"/>
                            <w:sz w:val="16"/>
                            <w:szCs w:val="16"/>
                          </w:rPr>
                          <w:t>CONSEJERÍA DE EDUCACIÓN</w:t>
                        </w:r>
                      </w:p>
                      <w:p w:rsidR="00963B5F" w:rsidRDefault="00963B5F">
                        <w:pPr>
                          <w:pStyle w:val="Encabezado"/>
                          <w:jc w:val="center"/>
                          <w:rPr>
                            <w:b/>
                            <w:color w:val="B2A1C7"/>
                            <w:sz w:val="16"/>
                            <w:szCs w:val="16"/>
                          </w:rPr>
                        </w:pPr>
                        <w:r>
                          <w:rPr>
                            <w:b/>
                            <w:color w:val="B2A1C7"/>
                            <w:sz w:val="16"/>
                            <w:szCs w:val="16"/>
                          </w:rPr>
                          <w:t>IES HIPATIA</w:t>
                        </w:r>
                      </w:p>
                      <w:p w:rsidR="00963B5F" w:rsidRDefault="00963B5F">
                        <w:pPr>
                          <w:pStyle w:val="Encabezado"/>
                          <w:jc w:val="center"/>
                        </w:pPr>
                        <w:r>
                          <w:rPr>
                            <w:b/>
                            <w:color w:val="B2A1C7"/>
                            <w:sz w:val="16"/>
                            <w:szCs w:val="16"/>
                          </w:rPr>
                          <w:t>Mairena del Aljarafe</w:t>
                        </w:r>
                      </w:p>
                    </w:tc>
                    <w:tc>
                      <w:tcPr>
                        <w:tcW w:w="2672" w:type="dxa"/>
                        <w:tcBorders>
                          <w:top w:val="single" w:sz="4" w:space="0" w:color="000000"/>
                          <w:left w:val="single" w:sz="4" w:space="0" w:color="000000"/>
                          <w:bottom w:val="single" w:sz="4" w:space="0" w:color="000000"/>
                        </w:tcBorders>
                        <w:shd w:val="clear" w:color="auto" w:fill="auto"/>
                      </w:tcPr>
                      <w:p w:rsidR="00963B5F" w:rsidRDefault="00963B5F">
                        <w:pPr>
                          <w:pStyle w:val="Encabezado"/>
                          <w:jc w:val="center"/>
                          <w:rPr>
                            <w:b/>
                            <w:color w:val="B2A1C7"/>
                            <w:sz w:val="16"/>
                            <w:szCs w:val="16"/>
                          </w:rPr>
                        </w:pPr>
                        <w:r>
                          <w:object w:dxaOrig="1545"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7pt;height:51.35pt" o:ole="" filled="t">
                              <v:fill opacity="0" color2="black"/>
                              <v:imagedata r:id="rId8" o:title=""/>
                            </v:shape>
                            <o:OLEObject Type="Embed" ProgID="PBrush" ShapeID="_x0000_i1028" DrawAspect="Content" ObjectID="_1477813139" r:id="rId9"/>
                          </w:objec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963B5F" w:rsidRDefault="00963B5F">
                        <w:pPr>
                          <w:snapToGrid w:val="0"/>
                          <w:jc w:val="center"/>
                          <w:rPr>
                            <w:b/>
                            <w:color w:val="B2A1C7"/>
                            <w:sz w:val="16"/>
                            <w:szCs w:val="16"/>
                          </w:rPr>
                        </w:pPr>
                      </w:p>
                      <w:p w:rsidR="00963B5F" w:rsidRDefault="00963B5F">
                        <w:pPr>
                          <w:jc w:val="center"/>
                          <w:rPr>
                            <w:b/>
                            <w:color w:val="B2A1C7"/>
                            <w:sz w:val="16"/>
                            <w:szCs w:val="16"/>
                          </w:rPr>
                        </w:pPr>
                      </w:p>
                      <w:p w:rsidR="00963B5F" w:rsidRDefault="00963B5F">
                        <w:pPr>
                          <w:jc w:val="center"/>
                          <w:rPr>
                            <w:b/>
                            <w:color w:val="B2A1C7"/>
                          </w:rPr>
                        </w:pPr>
                        <w:r>
                          <w:rPr>
                            <w:b/>
                            <w:color w:val="B2A1C7"/>
                          </w:rPr>
                          <w:t>Recomendación lectora</w:t>
                        </w:r>
                      </w:p>
                      <w:p w:rsidR="00963B5F" w:rsidRDefault="00963B5F">
                        <w:pPr>
                          <w:jc w:val="center"/>
                          <w:rPr>
                            <w:b/>
                            <w:color w:val="B2A1C7"/>
                          </w:rPr>
                        </w:pPr>
                      </w:p>
                    </w:tc>
                  </w:tr>
                </w:tbl>
                <w:p w:rsidR="00963B5F" w:rsidRDefault="00963B5F" w:rsidP="00963B5F">
                  <w:r>
                    <w:t xml:space="preserve"> </w:t>
                  </w:r>
                </w:p>
              </w:txbxContent>
            </v:textbox>
            <w10:wrap type="square" side="largest" anchorx="margin" anchory="page"/>
          </v:shape>
        </w:pict>
      </w:r>
      <w:r w:rsidR="00963B5F" w:rsidRPr="005F1A95">
        <w:rPr>
          <w:b/>
          <w:bCs/>
          <w:sz w:val="36"/>
          <w:szCs w:val="36"/>
          <w:u w:val="single"/>
        </w:rPr>
        <w:t>Malditas matemáticas: Alicia en el País de los Números</w:t>
      </w:r>
    </w:p>
    <w:p w:rsidR="00963B5F" w:rsidRDefault="00963B5F" w:rsidP="00963B5F">
      <w:pPr>
        <w:spacing w:before="100" w:beforeAutospacing="1" w:after="100" w:afterAutospacing="1"/>
        <w:ind w:firstLine="708"/>
        <w:jc w:val="both"/>
        <w:outlineLvl w:val="1"/>
        <w:rPr>
          <w:b/>
          <w:bCs/>
          <w:sz w:val="36"/>
          <w:szCs w:val="36"/>
          <w:lang w:eastAsia="es-ES"/>
        </w:rPr>
      </w:pPr>
      <w:r>
        <w:t xml:space="preserve"> En este libro su autor - </w:t>
      </w:r>
      <w:hyperlink r:id="rId10" w:tooltip="Carlo Frabetti" w:history="1">
        <w:r>
          <w:rPr>
            <w:rStyle w:val="Hipervnculo"/>
          </w:rPr>
          <w:t xml:space="preserve">Carlo </w:t>
        </w:r>
        <w:proofErr w:type="spellStart"/>
        <w:r>
          <w:rPr>
            <w:rStyle w:val="Hipervnculo"/>
          </w:rPr>
          <w:t>Frabetti</w:t>
        </w:r>
        <w:proofErr w:type="spellEnd"/>
      </w:hyperlink>
      <w:r>
        <w:t xml:space="preserve"> (</w:t>
      </w:r>
      <w:hyperlink r:id="rId11" w:tooltip="Bolonia" w:history="1">
        <w:r>
          <w:rPr>
            <w:rStyle w:val="Hipervnculo"/>
          </w:rPr>
          <w:t>Bolonia</w:t>
        </w:r>
      </w:hyperlink>
      <w:r>
        <w:t xml:space="preserve">, </w:t>
      </w:r>
      <w:hyperlink r:id="rId12" w:tooltip="Italia" w:history="1">
        <w:r>
          <w:rPr>
            <w:rStyle w:val="Hipervnculo"/>
          </w:rPr>
          <w:t>Italia</w:t>
        </w:r>
      </w:hyperlink>
      <w:r>
        <w:t xml:space="preserve">, </w:t>
      </w:r>
      <w:hyperlink r:id="rId13" w:tooltip="1945" w:history="1">
        <w:r>
          <w:rPr>
            <w:rStyle w:val="Hipervnculo"/>
          </w:rPr>
          <w:t>1945</w:t>
        </w:r>
      </w:hyperlink>
      <w:r>
        <w:t xml:space="preserve">-)- de forma carismática y sencilla logra narrar y explicar funciones y operaciones matemáticas al alcance de los niños, para ello se auxilia del personaje de Alicia la protagonista del cuento </w:t>
      </w:r>
      <w:hyperlink r:id="rId14" w:tooltip="Alicia en el país de las maravillas" w:history="1">
        <w:r>
          <w:rPr>
            <w:rStyle w:val="Hipervnculo"/>
          </w:rPr>
          <w:t>Alicia en el país de las maravillas</w:t>
        </w:r>
      </w:hyperlink>
      <w:r>
        <w:t>, pero esta vez la traslada al país de las matemáticas. Libro recomendado para primer ciclo de ESO.</w:t>
      </w:r>
    </w:p>
    <w:p w:rsidR="00963B5F" w:rsidRPr="005F1A95" w:rsidRDefault="00963B5F" w:rsidP="00963B5F">
      <w:pPr>
        <w:spacing w:before="100" w:beforeAutospacing="1" w:after="100" w:afterAutospacing="1"/>
        <w:jc w:val="both"/>
        <w:outlineLvl w:val="1"/>
        <w:rPr>
          <w:b/>
          <w:bCs/>
          <w:sz w:val="36"/>
          <w:szCs w:val="36"/>
          <w:lang w:eastAsia="es-ES"/>
        </w:rPr>
      </w:pPr>
      <w:r w:rsidRPr="005F1A95">
        <w:rPr>
          <w:b/>
          <w:bCs/>
          <w:sz w:val="36"/>
          <w:szCs w:val="36"/>
          <w:lang w:eastAsia="es-ES"/>
        </w:rPr>
        <w:t xml:space="preserve">Argumento </w:t>
      </w:r>
    </w:p>
    <w:p w:rsidR="00963B5F" w:rsidRPr="005F1A95" w:rsidRDefault="00963B5F" w:rsidP="00963B5F">
      <w:pPr>
        <w:spacing w:before="100" w:beforeAutospacing="1" w:after="100" w:afterAutospacing="1"/>
        <w:ind w:firstLine="708"/>
        <w:jc w:val="both"/>
        <w:rPr>
          <w:lang w:eastAsia="es-ES"/>
        </w:rPr>
      </w:pPr>
      <w:r w:rsidRPr="005F1A95">
        <w:rPr>
          <w:lang w:eastAsia="es-ES"/>
        </w:rPr>
        <w:t xml:space="preserve">Alicia detesta las matemáticas y considera que no sirven para nada. Un día, mientras está estudiando en el parque, un extraño personaje que resulta ser Lewis Carroll, el autor de </w:t>
      </w:r>
      <w:hyperlink r:id="rId15" w:tooltip="Alicia en el país de las maravillas" w:history="1">
        <w:r w:rsidRPr="008A016E">
          <w:rPr>
            <w:u w:val="single"/>
            <w:lang w:eastAsia="es-ES"/>
          </w:rPr>
          <w:t>Alicia en el país de las maravillas</w:t>
        </w:r>
      </w:hyperlink>
      <w:r w:rsidRPr="005F1A95">
        <w:rPr>
          <w:lang w:eastAsia="es-ES"/>
        </w:rPr>
        <w:t xml:space="preserve"> la invita a dar un paseo por el País de los Números, allí tras correr las más increíbles peripecias en su fantástico viaje como enfrentarse al monstruo del laberinto, cruzar un desierto de granos de trigo y adentrarse en un bosque de números arborescentes, comprenderá que las matemáticas no solo son útiles sino también divertidas. </w:t>
      </w:r>
    </w:p>
    <w:p w:rsidR="00963B5F" w:rsidRPr="005F1A95" w:rsidRDefault="00963B5F" w:rsidP="00963B5F">
      <w:pPr>
        <w:spacing w:before="100" w:beforeAutospacing="1" w:after="100" w:afterAutospacing="1"/>
        <w:jc w:val="both"/>
        <w:outlineLvl w:val="2"/>
        <w:rPr>
          <w:b/>
          <w:bCs/>
          <w:sz w:val="27"/>
          <w:szCs w:val="27"/>
          <w:lang w:eastAsia="es-ES"/>
        </w:rPr>
      </w:pPr>
      <w:r w:rsidRPr="005F1A95">
        <w:rPr>
          <w:b/>
          <w:bCs/>
          <w:sz w:val="27"/>
          <w:szCs w:val="27"/>
          <w:lang w:eastAsia="es-ES"/>
        </w:rPr>
        <w:t xml:space="preserve">Epílogo </w:t>
      </w:r>
    </w:p>
    <w:p w:rsidR="00963B5F" w:rsidRPr="005F1A95" w:rsidRDefault="00963B5F" w:rsidP="00963B5F">
      <w:pPr>
        <w:spacing w:before="100" w:beforeAutospacing="1" w:after="100" w:afterAutospacing="1"/>
        <w:ind w:firstLine="708"/>
        <w:jc w:val="both"/>
        <w:rPr>
          <w:lang w:eastAsia="es-ES"/>
        </w:rPr>
      </w:pPr>
      <w:r w:rsidRPr="005F1A95">
        <w:rPr>
          <w:lang w:eastAsia="es-ES"/>
        </w:rPr>
        <w:t>Al final del libro el autor transmite una gran enseñanza ya que la niña se queda dormida en el parque en un banco de piedras debajo del sol y un guardia al verla la despierta ya que se iba a insolar y ella le dice que se quedó dormida mientras estudiaba, y al ver el guardia el libro que tenía, le comentó:</w:t>
      </w:r>
    </w:p>
    <w:p w:rsidR="00963B5F" w:rsidRDefault="00963B5F" w:rsidP="00963B5F">
      <w:pPr>
        <w:spacing w:before="100" w:beforeAutospacing="1" w:after="100" w:afterAutospacing="1"/>
        <w:jc w:val="both"/>
        <w:rPr>
          <w:lang w:eastAsia="es-ES"/>
        </w:rPr>
      </w:pPr>
      <w:r w:rsidRPr="005F1A95">
        <w:rPr>
          <w:lang w:eastAsia="es-ES"/>
        </w:rPr>
        <w:t>— No me extraña, si estabas estudiando matemáticas, con lo aburridas que son—</w:t>
      </w:r>
      <w:r w:rsidRPr="005F1A95">
        <w:rPr>
          <w:lang w:eastAsia="es-ES"/>
        </w:rPr>
        <w:br/>
        <w:t>Y con la misma la niña le refutó:</w:t>
      </w:r>
    </w:p>
    <w:p w:rsidR="00963B5F" w:rsidRPr="005F1A95" w:rsidRDefault="00963B5F" w:rsidP="00963B5F">
      <w:pPr>
        <w:spacing w:before="100" w:beforeAutospacing="1" w:after="100" w:afterAutospacing="1"/>
        <w:jc w:val="both"/>
        <w:rPr>
          <w:lang w:eastAsia="es-ES"/>
        </w:rPr>
      </w:pPr>
      <w:r w:rsidRPr="005F1A95">
        <w:rPr>
          <w:lang w:eastAsia="es-ES"/>
        </w:rPr>
        <w:br/>
        <w:t>— ¿Aburridas? ¡Nada de eso, son muy divertidas!—</w:t>
      </w:r>
    </w:p>
    <w:p w:rsidR="00AF7672" w:rsidRDefault="00AF7672" w:rsidP="00963B5F">
      <w:pPr>
        <w:spacing w:before="100" w:beforeAutospacing="1" w:after="100" w:afterAutospacing="1"/>
        <w:jc w:val="both"/>
        <w:outlineLvl w:val="1"/>
        <w:rPr>
          <w:b/>
          <w:bCs/>
          <w:sz w:val="36"/>
          <w:szCs w:val="36"/>
          <w:lang w:eastAsia="es-ES"/>
        </w:rPr>
      </w:pPr>
    </w:p>
    <w:p w:rsidR="00AF7672" w:rsidRDefault="00AF7672" w:rsidP="00963B5F">
      <w:pPr>
        <w:spacing w:before="100" w:beforeAutospacing="1" w:after="100" w:afterAutospacing="1"/>
        <w:jc w:val="both"/>
        <w:outlineLvl w:val="1"/>
        <w:rPr>
          <w:b/>
          <w:bCs/>
          <w:sz w:val="36"/>
          <w:szCs w:val="36"/>
          <w:lang w:eastAsia="es-ES"/>
        </w:rPr>
      </w:pPr>
    </w:p>
    <w:p w:rsidR="00963B5F" w:rsidRPr="005F1A95" w:rsidRDefault="00963B5F" w:rsidP="00963B5F">
      <w:pPr>
        <w:spacing w:before="100" w:beforeAutospacing="1" w:after="100" w:afterAutospacing="1"/>
        <w:jc w:val="both"/>
        <w:outlineLvl w:val="1"/>
        <w:rPr>
          <w:b/>
          <w:bCs/>
          <w:sz w:val="36"/>
          <w:szCs w:val="36"/>
          <w:lang w:eastAsia="es-ES"/>
        </w:rPr>
      </w:pPr>
      <w:r w:rsidRPr="005F1A95">
        <w:rPr>
          <w:b/>
          <w:bCs/>
          <w:sz w:val="36"/>
          <w:szCs w:val="36"/>
          <w:lang w:eastAsia="es-ES"/>
        </w:rPr>
        <w:t xml:space="preserve">El autor </w:t>
      </w:r>
    </w:p>
    <w:p w:rsidR="00963B5F" w:rsidRPr="005F1A95" w:rsidRDefault="00942408" w:rsidP="00963B5F">
      <w:pPr>
        <w:spacing w:before="100" w:beforeAutospacing="1" w:after="100" w:afterAutospacing="1"/>
        <w:jc w:val="both"/>
        <w:rPr>
          <w:lang w:eastAsia="es-ES"/>
        </w:rPr>
      </w:pPr>
      <w:hyperlink r:id="rId16" w:tooltip="Carlo Frabetti" w:history="1">
        <w:r w:rsidR="00963B5F" w:rsidRPr="008A016E">
          <w:rPr>
            <w:lang w:eastAsia="es-ES"/>
          </w:rPr>
          <w:t xml:space="preserve">Carlo </w:t>
        </w:r>
        <w:proofErr w:type="spellStart"/>
        <w:r w:rsidR="00963B5F" w:rsidRPr="008A016E">
          <w:rPr>
            <w:lang w:eastAsia="es-ES"/>
          </w:rPr>
          <w:t>Frabetti</w:t>
        </w:r>
        <w:proofErr w:type="spellEnd"/>
      </w:hyperlink>
      <w:r w:rsidR="00963B5F" w:rsidRPr="005F1A95">
        <w:rPr>
          <w:lang w:eastAsia="es-ES"/>
        </w:rPr>
        <w:t xml:space="preserve"> nació en </w:t>
      </w:r>
      <w:hyperlink r:id="rId17" w:tooltip="Bolonia" w:history="1">
        <w:r w:rsidR="00963B5F" w:rsidRPr="008A016E">
          <w:rPr>
            <w:lang w:eastAsia="es-ES"/>
          </w:rPr>
          <w:t>Bolonia</w:t>
        </w:r>
      </w:hyperlink>
      <w:r w:rsidR="00963B5F" w:rsidRPr="005F1A95">
        <w:rPr>
          <w:lang w:eastAsia="es-ES"/>
        </w:rPr>
        <w:t xml:space="preserve"> en </w:t>
      </w:r>
      <w:hyperlink r:id="rId18" w:tooltip="1945" w:history="1">
        <w:r w:rsidR="00963B5F" w:rsidRPr="008A016E">
          <w:rPr>
            <w:lang w:eastAsia="es-ES"/>
          </w:rPr>
          <w:t>1945</w:t>
        </w:r>
      </w:hyperlink>
      <w:r w:rsidR="00963B5F" w:rsidRPr="005F1A95">
        <w:rPr>
          <w:lang w:eastAsia="es-ES"/>
        </w:rPr>
        <w:t xml:space="preserve">, reside en </w:t>
      </w:r>
      <w:hyperlink r:id="rId19" w:tooltip="España" w:history="1">
        <w:r w:rsidR="00963B5F" w:rsidRPr="008A016E">
          <w:rPr>
            <w:lang w:eastAsia="es-ES"/>
          </w:rPr>
          <w:t>España</w:t>
        </w:r>
      </w:hyperlink>
      <w:r w:rsidR="00963B5F" w:rsidRPr="005F1A95">
        <w:rPr>
          <w:lang w:eastAsia="es-ES"/>
        </w:rPr>
        <w:t xml:space="preserve"> desde los ocho años y escribe habitualmente en español. Antes de dedicarse a la escritura tuvo varios empleos, como socorrista, profesor de artes marciales o traductor de poesía italiana. También se especializó en divulgación científica. Es miembro de la Academia de Ciencias de </w:t>
      </w:r>
      <w:hyperlink r:id="rId20" w:tooltip="Nueva York" w:history="1">
        <w:r w:rsidR="00963B5F" w:rsidRPr="008A016E">
          <w:rPr>
            <w:lang w:eastAsia="es-ES"/>
          </w:rPr>
          <w:t>Nueva York</w:t>
        </w:r>
      </w:hyperlink>
      <w:r w:rsidR="00963B5F" w:rsidRPr="005F1A95">
        <w:rPr>
          <w:lang w:eastAsia="es-ES"/>
        </w:rPr>
        <w:t xml:space="preserve"> y miembro fundador de la Alianza de Intelectuales Antiimperialistas. </w:t>
      </w:r>
    </w:p>
    <w:p w:rsidR="00963B5F" w:rsidRPr="005F1A95" w:rsidRDefault="00963B5F" w:rsidP="00963B5F">
      <w:pPr>
        <w:spacing w:before="100" w:beforeAutospacing="1" w:after="100" w:afterAutospacing="1"/>
        <w:jc w:val="both"/>
        <w:rPr>
          <w:lang w:eastAsia="es-ES"/>
        </w:rPr>
      </w:pPr>
      <w:r w:rsidRPr="005F1A95">
        <w:rPr>
          <w:lang w:eastAsia="es-ES"/>
        </w:rPr>
        <w:lastRenderedPageBreak/>
        <w:t xml:space="preserve">Aunque es conocido por sus obras infantiles y juveniles, es un prolífico autor de obras para adultos (La reflexión y el mito, </w:t>
      </w:r>
      <w:hyperlink r:id="rId21" w:tooltip="1990" w:history="1">
        <w:r w:rsidRPr="008A016E">
          <w:rPr>
            <w:lang w:eastAsia="es-ES"/>
          </w:rPr>
          <w:t>1990</w:t>
        </w:r>
      </w:hyperlink>
      <w:r w:rsidRPr="005F1A95">
        <w:rPr>
          <w:lang w:eastAsia="es-ES"/>
        </w:rPr>
        <w:t xml:space="preserve">; El Libro Infierno, </w:t>
      </w:r>
      <w:hyperlink r:id="rId22" w:tooltip="2002" w:history="1">
        <w:r w:rsidRPr="008A016E">
          <w:rPr>
            <w:lang w:eastAsia="es-ES"/>
          </w:rPr>
          <w:t>2002</w:t>
        </w:r>
      </w:hyperlink>
      <w:r w:rsidRPr="005F1A95">
        <w:rPr>
          <w:lang w:eastAsia="es-ES"/>
        </w:rPr>
        <w:t xml:space="preserve">; Contra el Imperio, 2002; entre otras.) </w:t>
      </w:r>
    </w:p>
    <w:p w:rsidR="00963B5F" w:rsidRPr="005F1A95" w:rsidRDefault="00963B5F" w:rsidP="00963B5F">
      <w:pPr>
        <w:spacing w:before="100" w:beforeAutospacing="1" w:after="100" w:afterAutospacing="1"/>
        <w:jc w:val="both"/>
        <w:outlineLvl w:val="2"/>
        <w:rPr>
          <w:b/>
          <w:bCs/>
          <w:sz w:val="27"/>
          <w:szCs w:val="27"/>
          <w:lang w:eastAsia="es-ES"/>
        </w:rPr>
      </w:pPr>
      <w:r w:rsidRPr="005F1A95">
        <w:rPr>
          <w:b/>
          <w:bCs/>
          <w:sz w:val="27"/>
          <w:szCs w:val="27"/>
          <w:lang w:eastAsia="es-ES"/>
        </w:rPr>
        <w:t xml:space="preserve">Premios </w:t>
      </w:r>
    </w:p>
    <w:p w:rsidR="00963B5F" w:rsidRDefault="00963B5F" w:rsidP="00963B5F">
      <w:pPr>
        <w:numPr>
          <w:ilvl w:val="0"/>
          <w:numId w:val="1"/>
        </w:numPr>
        <w:suppressAutoHyphens w:val="0"/>
        <w:spacing w:before="100" w:beforeAutospacing="1" w:after="100" w:afterAutospacing="1"/>
        <w:jc w:val="both"/>
        <w:rPr>
          <w:lang w:eastAsia="es-ES"/>
        </w:rPr>
      </w:pPr>
      <w:r w:rsidRPr="005F1A95">
        <w:rPr>
          <w:lang w:eastAsia="es-ES"/>
        </w:rPr>
        <w:t xml:space="preserve">En 1998 obtuvo el Premio Jaén de Narrativa Infantil y Juvenil por su obra El gran juego. </w:t>
      </w:r>
    </w:p>
    <w:p w:rsidR="00963B5F" w:rsidRPr="00963B5F" w:rsidRDefault="00963B5F" w:rsidP="00963B5F">
      <w:pPr>
        <w:numPr>
          <w:ilvl w:val="0"/>
          <w:numId w:val="1"/>
        </w:numPr>
        <w:suppressAutoHyphens w:val="0"/>
        <w:spacing w:before="100" w:beforeAutospacing="1" w:after="100" w:afterAutospacing="1"/>
        <w:jc w:val="center"/>
        <w:rPr>
          <w:rFonts w:ascii="Calibri" w:hAnsi="Calibri" w:cs="Calibri"/>
          <w:b/>
          <w:sz w:val="22"/>
          <w:szCs w:val="22"/>
        </w:rPr>
      </w:pPr>
      <w:r w:rsidRPr="005F1A95">
        <w:rPr>
          <w:lang w:eastAsia="es-ES"/>
        </w:rPr>
        <w:t xml:space="preserve">Premio de Literatura Infantil Barco de Vapor por </w:t>
      </w:r>
      <w:proofErr w:type="spellStart"/>
      <w:r w:rsidRPr="005F1A95">
        <w:rPr>
          <w:lang w:eastAsia="es-ES"/>
        </w:rPr>
        <w:t>Calvina</w:t>
      </w:r>
      <w:proofErr w:type="spellEnd"/>
      <w:r w:rsidRPr="005F1A95">
        <w:rPr>
          <w:lang w:eastAsia="es-ES"/>
        </w:rPr>
        <w:t xml:space="preserve">. </w:t>
      </w:r>
    </w:p>
    <w:sectPr w:rsidR="00963B5F" w:rsidRPr="00963B5F" w:rsidSect="004360FE">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50A"/>
    <w:multiLevelType w:val="multilevel"/>
    <w:tmpl w:val="8DA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63B5F"/>
    <w:rsid w:val="003D5DBF"/>
    <w:rsid w:val="005B5CAE"/>
    <w:rsid w:val="007E7E60"/>
    <w:rsid w:val="00942408"/>
    <w:rsid w:val="00963B5F"/>
    <w:rsid w:val="00AF76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B5F"/>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63B5F"/>
    <w:pPr>
      <w:spacing w:before="280" w:after="280"/>
    </w:pPr>
  </w:style>
  <w:style w:type="paragraph" w:styleId="Encabezado">
    <w:name w:val="header"/>
    <w:basedOn w:val="Normal"/>
    <w:link w:val="EncabezadoCar"/>
    <w:rsid w:val="00963B5F"/>
    <w:pPr>
      <w:tabs>
        <w:tab w:val="center" w:pos="4252"/>
        <w:tab w:val="right" w:pos="8504"/>
      </w:tabs>
    </w:pPr>
  </w:style>
  <w:style w:type="character" w:customStyle="1" w:styleId="EncabezadoCar">
    <w:name w:val="Encabezado Car"/>
    <w:basedOn w:val="Fuentedeprrafopredeter"/>
    <w:link w:val="Encabezado"/>
    <w:rsid w:val="00963B5F"/>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963B5F"/>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B5F"/>
    <w:rPr>
      <w:rFonts w:ascii="Tahoma" w:eastAsia="Times New Roman" w:hAnsi="Tahoma" w:cs="Tahoma"/>
      <w:sz w:val="16"/>
      <w:szCs w:val="16"/>
      <w:lang w:eastAsia="ar-SA"/>
    </w:rPr>
  </w:style>
  <w:style w:type="character" w:styleId="Hipervnculo">
    <w:name w:val="Hyperlink"/>
    <w:basedOn w:val="Fuentedeprrafopredeter"/>
    <w:uiPriority w:val="99"/>
    <w:semiHidden/>
    <w:unhideWhenUsed/>
    <w:rsid w:val="00963B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ecured.cu/index.php/1945" TargetMode="External"/><Relationship Id="rId18" Type="http://schemas.openxmlformats.org/officeDocument/2006/relationships/hyperlink" Target="http://www.ecured.cu/index.php/1945" TargetMode="External"/><Relationship Id="rId3" Type="http://schemas.microsoft.com/office/2007/relationships/stylesWithEffects" Target="stylesWithEffects.xml"/><Relationship Id="rId21" Type="http://schemas.openxmlformats.org/officeDocument/2006/relationships/hyperlink" Target="http://www.ecured.cu/index.php/1990" TargetMode="External"/><Relationship Id="rId7" Type="http://schemas.openxmlformats.org/officeDocument/2006/relationships/image" Target="media/image2.wmf"/><Relationship Id="rId12" Type="http://schemas.openxmlformats.org/officeDocument/2006/relationships/hyperlink" Target="http://www.ecured.cu/index.php/Italia" TargetMode="External"/><Relationship Id="rId17" Type="http://schemas.openxmlformats.org/officeDocument/2006/relationships/hyperlink" Target="http://www.ecured.cu/index.php/Bolonia" TargetMode="External"/><Relationship Id="rId2" Type="http://schemas.openxmlformats.org/officeDocument/2006/relationships/styles" Target="styles.xml"/><Relationship Id="rId16" Type="http://schemas.openxmlformats.org/officeDocument/2006/relationships/hyperlink" Target="http://www.ecured.cu/index.php/Carlo_Frabetti" TargetMode="External"/><Relationship Id="rId20" Type="http://schemas.openxmlformats.org/officeDocument/2006/relationships/hyperlink" Target="http://www.ecured.cu/index.php/Nueva_Yor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cured.cu/index.php/Bolon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ured.cu/index.php/Alicia_en_el_pa%C3%ADs_de_las_maravillas" TargetMode="External"/><Relationship Id="rId23" Type="http://schemas.openxmlformats.org/officeDocument/2006/relationships/fontTable" Target="fontTable.xml"/><Relationship Id="rId10" Type="http://schemas.openxmlformats.org/officeDocument/2006/relationships/hyperlink" Target="http://www.ecured.cu/index.php/Carlo_Frabetti" TargetMode="External"/><Relationship Id="rId19" Type="http://schemas.openxmlformats.org/officeDocument/2006/relationships/hyperlink" Target="http://www.ecured.cu/index.php/Espa%C3%B1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cured.cu/index.php/Alicia_en_el_pa%C3%ADs_de_las_maravillas" TargetMode="External"/><Relationship Id="rId22" Type="http://schemas.openxmlformats.org/officeDocument/2006/relationships/hyperlink" Target="http://www.ecured.cu/index.php/2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3</cp:revision>
  <dcterms:created xsi:type="dcterms:W3CDTF">2014-11-15T12:42:00Z</dcterms:created>
  <dcterms:modified xsi:type="dcterms:W3CDTF">2014-11-18T09:53:00Z</dcterms:modified>
</cp:coreProperties>
</file>